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6EC" w:rsidRPr="00734541" w:rsidRDefault="00734541" w:rsidP="003A1585">
      <w:pPr>
        <w:pBdr>
          <w:bottom w:val="single" w:sz="4" w:space="1" w:color="auto"/>
        </w:pBdr>
        <w:spacing w:line="360" w:lineRule="auto"/>
        <w:jc w:val="center"/>
        <w:rPr>
          <w:b/>
        </w:rPr>
      </w:pPr>
      <w:bookmarkStart w:id="0" w:name="_GoBack"/>
      <w:bookmarkEnd w:id="0"/>
      <w:r w:rsidRPr="00734541">
        <w:rPr>
          <w:b/>
        </w:rPr>
        <w:t>OLG-Homepage</w:t>
      </w:r>
    </w:p>
    <w:p w:rsidR="00734541" w:rsidRPr="00734541" w:rsidRDefault="00734541" w:rsidP="003A1585">
      <w:pPr>
        <w:pBdr>
          <w:bottom w:val="single" w:sz="4" w:space="1" w:color="auto"/>
        </w:pBdr>
        <w:spacing w:line="360" w:lineRule="auto"/>
        <w:jc w:val="center"/>
        <w:rPr>
          <w:b/>
        </w:rPr>
      </w:pPr>
      <w:r w:rsidRPr="00734541">
        <w:rPr>
          <w:b/>
        </w:rPr>
        <w:t>Startseite / AUFGABEN und VERFAHREN / Zivilsachen / Zivilprozessualer I</w:t>
      </w:r>
      <w:r w:rsidRPr="00734541">
        <w:rPr>
          <w:b/>
        </w:rPr>
        <w:t>n</w:t>
      </w:r>
      <w:r w:rsidRPr="00734541">
        <w:rPr>
          <w:b/>
        </w:rPr>
        <w:t>stanzenzug:</w:t>
      </w:r>
    </w:p>
    <w:p w:rsidR="00734541" w:rsidRDefault="00734541" w:rsidP="008655EC">
      <w:pPr>
        <w:spacing w:line="360" w:lineRule="auto"/>
      </w:pPr>
    </w:p>
    <w:p w:rsidR="00734541" w:rsidRDefault="00734541" w:rsidP="008655EC">
      <w:pPr>
        <w:spacing w:line="360" w:lineRule="auto"/>
      </w:pPr>
    </w:p>
    <w:p w:rsidR="00734541" w:rsidRPr="00734541" w:rsidRDefault="00734541" w:rsidP="00734541">
      <w:pPr>
        <w:spacing w:line="360" w:lineRule="auto"/>
        <w:rPr>
          <w:b/>
        </w:rPr>
      </w:pPr>
      <w:r>
        <w:rPr>
          <w:b/>
        </w:rPr>
        <w:t>„</w:t>
      </w:r>
      <w:r w:rsidRPr="00734541">
        <w:rPr>
          <w:b/>
        </w:rPr>
        <w:t>Stellung des Oberlandesgerichts Karlsruhe im zivilprozessualen Instanzenzug (ohne freiwillige Gerichtsbarkeit)</w:t>
      </w:r>
    </w:p>
    <w:p w:rsidR="00734541" w:rsidRDefault="00734541" w:rsidP="00734541">
      <w:pPr>
        <w:spacing w:line="360" w:lineRule="auto"/>
      </w:pPr>
    </w:p>
    <w:p w:rsidR="00734541" w:rsidRDefault="00734541" w:rsidP="00734541">
      <w:pPr>
        <w:spacing w:line="360" w:lineRule="auto"/>
      </w:pPr>
    </w:p>
    <w:p w:rsidR="00734541" w:rsidRDefault="00734541" w:rsidP="00734541">
      <w:pPr>
        <w:spacing w:line="360" w:lineRule="auto"/>
        <w:jc w:val="both"/>
      </w:pPr>
      <w:r>
        <w:t xml:space="preserve">Sie können sich den zivilprozessualen Instanzenzug in einem </w:t>
      </w:r>
      <w:proofErr w:type="spellStart"/>
      <w:r>
        <w:t>download</w:t>
      </w:r>
      <w:proofErr w:type="spellEnd"/>
      <w:r>
        <w:t xml:space="preserve"> </w:t>
      </w:r>
      <w:r w:rsidRPr="00734541">
        <w:rPr>
          <w:b/>
        </w:rPr>
        <w:t>Schaubild</w:t>
      </w:r>
      <w:r>
        <w:t xml:space="preserve"> ansehen.</w:t>
      </w:r>
    </w:p>
    <w:p w:rsidR="00734541" w:rsidRDefault="00734541" w:rsidP="00734541">
      <w:pPr>
        <w:spacing w:line="360" w:lineRule="auto"/>
        <w:jc w:val="both"/>
      </w:pPr>
    </w:p>
    <w:p w:rsidR="00734541" w:rsidRDefault="00734541" w:rsidP="00734541">
      <w:pPr>
        <w:spacing w:line="360" w:lineRule="auto"/>
        <w:jc w:val="both"/>
      </w:pPr>
      <w:r>
        <w:t>(Hinweis: Die vor</w:t>
      </w:r>
      <w:r w:rsidR="003A1585">
        <w:t>genannte,</w:t>
      </w:r>
      <w:r>
        <w:t xml:space="preserve"> </w:t>
      </w:r>
      <w:r w:rsidR="003A1585">
        <w:t>herunter</w:t>
      </w:r>
      <w:r>
        <w:t>lad</w:t>
      </w:r>
      <w:r w:rsidR="003A1585">
        <w:t xml:space="preserve">bare </w:t>
      </w:r>
      <w:r>
        <w:t>Darstellung ist stark vereinfacht auf Grundsätze und wesentliche Aspekte beschränkt</w:t>
      </w:r>
      <w:r w:rsidR="003A1585">
        <w:t>; sie</w:t>
      </w:r>
      <w:r>
        <w:t xml:space="preserve"> dient nicht der Rechtsberatung</w:t>
      </w:r>
      <w:r w:rsidR="003A1585">
        <w:t xml:space="preserve"> und kann eine solche nicht ersetzen!</w:t>
      </w:r>
      <w:r>
        <w:t>)</w:t>
      </w:r>
    </w:p>
    <w:p w:rsidR="00734541" w:rsidRDefault="00734541" w:rsidP="00734541">
      <w:pPr>
        <w:spacing w:line="360" w:lineRule="auto"/>
        <w:jc w:val="both"/>
      </w:pPr>
    </w:p>
    <w:p w:rsidR="003A1585" w:rsidRDefault="00734541" w:rsidP="00734541">
      <w:pPr>
        <w:spacing w:line="360" w:lineRule="auto"/>
        <w:jc w:val="both"/>
      </w:pPr>
      <w:r w:rsidRPr="00734541">
        <w:rPr>
          <w:b/>
        </w:rPr>
        <w:t>Allgemeine Anmerkung</w:t>
      </w:r>
      <w:r w:rsidR="003A1585">
        <w:rPr>
          <w:b/>
        </w:rPr>
        <w:t>en</w:t>
      </w:r>
      <w:r w:rsidRPr="00734541">
        <w:rPr>
          <w:b/>
        </w:rPr>
        <w:t>:</w:t>
      </w:r>
      <w:r w:rsidR="003A1585">
        <w:t xml:space="preserve"> Auf e</w:t>
      </w:r>
      <w:r>
        <w:t>i</w:t>
      </w:r>
      <w:r w:rsidR="003A1585">
        <w:t>n</w:t>
      </w:r>
      <w:r>
        <w:t xml:space="preserve">e </w:t>
      </w:r>
      <w:r w:rsidRPr="00734541">
        <w:rPr>
          <w:b/>
        </w:rPr>
        <w:t>Berufung</w:t>
      </w:r>
      <w:r>
        <w:t xml:space="preserve"> wird die Sache in rechtlicher und tatsächlicher Hinsicht überprüft. Auf die </w:t>
      </w:r>
      <w:r w:rsidRPr="00734541">
        <w:rPr>
          <w:b/>
        </w:rPr>
        <w:t>Revision</w:t>
      </w:r>
      <w:r>
        <w:t xml:space="preserve"> erfolgt </w:t>
      </w:r>
      <w:r w:rsidR="003A1585">
        <w:t xml:space="preserve">hingegen </w:t>
      </w:r>
      <w:r>
        <w:t>nur eine Überpr</w:t>
      </w:r>
      <w:r>
        <w:t>ü</w:t>
      </w:r>
      <w:r>
        <w:t>fung auf Rechtsfehler; die tatsächlichen Feststellungen der Vorinstanz werden – s</w:t>
      </w:r>
      <w:r>
        <w:t>o</w:t>
      </w:r>
      <w:r>
        <w:t xml:space="preserve">weit verfahrensfehlerfrei erfolgt oder nicht angegriffen – vom Revisionsgericht seiner Beurteilung als richtig zu Grunde gelegt. </w:t>
      </w:r>
    </w:p>
    <w:p w:rsidR="00734541" w:rsidRDefault="00734541" w:rsidP="00734541">
      <w:pPr>
        <w:spacing w:line="360" w:lineRule="auto"/>
        <w:jc w:val="both"/>
      </w:pPr>
      <w:r>
        <w:t>Als Grundsatz gilt: Berufung und Revision sind die Rechtsmittel gegen Urteile, B</w:t>
      </w:r>
      <w:r>
        <w:t>e</w:t>
      </w:r>
      <w:r>
        <w:t>schwerde ist das Rechtsmittel gegen Beschlüsse.</w:t>
      </w:r>
    </w:p>
    <w:p w:rsidR="00734541" w:rsidRDefault="00734541" w:rsidP="00734541">
      <w:pPr>
        <w:spacing w:line="360" w:lineRule="auto"/>
        <w:jc w:val="both"/>
      </w:pPr>
    </w:p>
    <w:p w:rsidR="00734541" w:rsidRDefault="00734541" w:rsidP="00734541">
      <w:pPr>
        <w:spacing w:line="360" w:lineRule="auto"/>
        <w:jc w:val="both"/>
      </w:pPr>
      <w:r>
        <w:t xml:space="preserve">Besonderheit </w:t>
      </w:r>
      <w:r w:rsidRPr="00734541">
        <w:rPr>
          <w:b/>
        </w:rPr>
        <w:t>Vorlageverfahren</w:t>
      </w:r>
      <w:r>
        <w:t>: Auf bestimmten Gebieten ordnet das Gesetz zur Sicherung einer einheitlichen Rechtsanwendung an, dass Gerichte bestimmte Rechtsfragen einem übergeordneten Gericht zur Entscheidung vorlegen können, u</w:t>
      </w:r>
      <w:r>
        <w:t>n</w:t>
      </w:r>
      <w:r>
        <w:t>ter Umständen sogar mü</w:t>
      </w:r>
      <w:r w:rsidR="003A1585">
        <w:t>ssen. Dies gilt beispielsweise für Fragen</w:t>
      </w:r>
      <w:r>
        <w:t xml:space="preserve"> des Europäischen Gemeinschaftsrechts, über die letztverbindlich der Gerichtshof der Europäischen Gemeinschaft entscheidet.“</w:t>
      </w:r>
    </w:p>
    <w:p w:rsidR="00734541" w:rsidRDefault="00734541" w:rsidP="00734541">
      <w:pPr>
        <w:spacing w:line="360" w:lineRule="auto"/>
        <w:jc w:val="both"/>
      </w:pPr>
    </w:p>
    <w:sectPr w:rsidR="00734541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48EE" w:rsidRDefault="002D48EE" w:rsidP="002D48EE">
      <w:r>
        <w:separator/>
      </w:r>
    </w:p>
  </w:endnote>
  <w:endnote w:type="continuationSeparator" w:id="0">
    <w:p w:rsidR="002D48EE" w:rsidRDefault="002D48EE" w:rsidP="002D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48EE" w:rsidRDefault="002D48EE" w:rsidP="002D48EE">
      <w:r>
        <w:separator/>
      </w:r>
    </w:p>
  </w:footnote>
  <w:footnote w:type="continuationSeparator" w:id="0">
    <w:p w:rsidR="002D48EE" w:rsidRDefault="002D48EE" w:rsidP="002D4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8EE" w:rsidRPr="001131F2" w:rsidRDefault="002D48EE" w:rsidP="002D48EE">
    <w:pPr>
      <w:pStyle w:val="Kopfzeile"/>
      <w:pBdr>
        <w:bottom w:val="single" w:sz="4" w:space="1" w:color="auto"/>
      </w:pBdr>
      <w:rPr>
        <w:sz w:val="20"/>
      </w:rPr>
    </w:pPr>
    <w:r w:rsidRPr="001131F2">
      <w:rPr>
        <w:sz w:val="20"/>
      </w:rPr>
      <w:t>S</w:t>
    </w:r>
    <w:r>
      <w:rPr>
        <w:sz w:val="20"/>
      </w:rPr>
      <w:t>chmitt</w:t>
    </w:r>
    <w:r>
      <w:rPr>
        <w:sz w:val="20"/>
      </w:rPr>
      <w:tab/>
      <w:t>OLG-Homepage</w:t>
    </w:r>
    <w:r>
      <w:rPr>
        <w:sz w:val="20"/>
      </w:rPr>
      <w:tab/>
      <w:t>08.06.2015 10:00</w:t>
    </w:r>
  </w:p>
  <w:p w:rsidR="002D48EE" w:rsidRDefault="002D48E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1C5EC2A8"/>
    <w:lvl w:ilvl="0">
      <w:start w:val="1"/>
      <w:numFmt w:val="decimal"/>
      <w:pStyle w:val="berschrift1"/>
      <w:lvlText w:val="§ %1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pStyle w:val="berschrift2"/>
      <w:lvlText w:val="%2."/>
      <w:legacy w:legacy="1" w:legacySpace="0" w:legacyIndent="510"/>
      <w:lvlJc w:val="left"/>
      <w:pPr>
        <w:ind w:left="510" w:hanging="510"/>
      </w:pPr>
    </w:lvl>
    <w:lvl w:ilvl="2">
      <w:start w:val="1"/>
      <w:numFmt w:val="lowerLetter"/>
      <w:pStyle w:val="berschrift3"/>
      <w:lvlText w:val="%3)"/>
      <w:legacy w:legacy="1" w:legacySpace="0" w:legacyIndent="510"/>
      <w:lvlJc w:val="left"/>
      <w:pPr>
        <w:ind w:left="1020" w:hanging="510"/>
      </w:pPr>
    </w:lvl>
    <w:lvl w:ilvl="3">
      <w:start w:val="1"/>
      <w:numFmt w:val="upperRoman"/>
      <w:pStyle w:val="berschrift4"/>
      <w:lvlText w:val="%4."/>
      <w:legacy w:legacy="1" w:legacySpace="0" w:legacyIndent="510"/>
      <w:lvlJc w:val="left"/>
      <w:pPr>
        <w:ind w:left="1530" w:hanging="510"/>
      </w:pPr>
    </w:lvl>
    <w:lvl w:ilvl="4">
      <w:start w:val="1"/>
      <w:numFmt w:val="decimal"/>
      <w:pStyle w:val="berschrift5"/>
      <w:lvlText w:val="%5."/>
      <w:legacy w:legacy="1" w:legacySpace="0" w:legacyIndent="510"/>
      <w:lvlJc w:val="left"/>
      <w:pPr>
        <w:ind w:left="2040" w:hanging="510"/>
      </w:pPr>
      <w:rPr>
        <w:rFonts w:ascii="Arial" w:hAnsi="Arial" w:hint="default"/>
        <w:b w:val="0"/>
        <w:i w:val="0"/>
        <w:sz w:val="24"/>
      </w:rPr>
    </w:lvl>
    <w:lvl w:ilvl="5">
      <w:start w:val="1"/>
      <w:numFmt w:val="lowerLetter"/>
      <w:pStyle w:val="berschrift6"/>
      <w:lvlText w:val="%6)"/>
      <w:legacy w:legacy="1" w:legacySpace="0" w:legacyIndent="510"/>
      <w:lvlJc w:val="left"/>
      <w:pPr>
        <w:ind w:left="2550" w:hanging="510"/>
      </w:pPr>
      <w:rPr>
        <w:rFonts w:ascii="Arial" w:hAnsi="Arial" w:hint="default"/>
        <w:b w:val="0"/>
        <w:i w:val="0"/>
        <w:sz w:val="24"/>
      </w:rPr>
    </w:lvl>
    <w:lvl w:ilvl="6">
      <w:start w:val="1"/>
      <w:numFmt w:val="upperRoman"/>
      <w:pStyle w:val="berschrift7"/>
      <w:lvlText w:val="%7."/>
      <w:legacy w:legacy="1" w:legacySpace="0" w:legacyIndent="708"/>
      <w:lvlJc w:val="left"/>
      <w:pPr>
        <w:ind w:left="709" w:hanging="708"/>
      </w:pPr>
      <w:rPr>
        <w:rFonts w:ascii="Arial" w:hAnsi="Arial" w:hint="default"/>
        <w:b w:val="0"/>
        <w:i w:val="0"/>
        <w:sz w:val="24"/>
      </w:rPr>
    </w:lvl>
    <w:lvl w:ilvl="7">
      <w:start w:val="1"/>
      <w:numFmt w:val="decimal"/>
      <w:pStyle w:val="berschrift8"/>
      <w:lvlText w:val="%8."/>
      <w:legacy w:legacy="1" w:legacySpace="0" w:legacyIndent="708"/>
      <w:lvlJc w:val="left"/>
      <w:pPr>
        <w:ind w:left="1560" w:hanging="708"/>
      </w:pPr>
      <w:rPr>
        <w:rFonts w:ascii="Arial" w:hAnsi="Arial" w:hint="default"/>
        <w:b w:val="0"/>
        <w:i w:val="0"/>
        <w:sz w:val="24"/>
      </w:rPr>
    </w:lvl>
    <w:lvl w:ilvl="8">
      <w:start w:val="1"/>
      <w:numFmt w:val="lowerLetter"/>
      <w:pStyle w:val="berschrift9"/>
      <w:lvlText w:val="%9)"/>
      <w:legacy w:legacy="1" w:legacySpace="0" w:legacyIndent="708"/>
      <w:lvlJc w:val="left"/>
      <w:pPr>
        <w:ind w:left="2268" w:hanging="708"/>
      </w:pPr>
      <w:rPr>
        <w:rFonts w:ascii="Arial" w:hAnsi="Arial" w:hint="default"/>
        <w:b w:val="0"/>
        <w:i w:val="0"/>
        <w:sz w:val="24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41"/>
    <w:rsid w:val="00023765"/>
    <w:rsid w:val="00062B1D"/>
    <w:rsid w:val="000A21EF"/>
    <w:rsid w:val="00111FA0"/>
    <w:rsid w:val="00140D41"/>
    <w:rsid w:val="00180E98"/>
    <w:rsid w:val="00191A41"/>
    <w:rsid w:val="002277D2"/>
    <w:rsid w:val="002D48EE"/>
    <w:rsid w:val="003A1585"/>
    <w:rsid w:val="003B3B33"/>
    <w:rsid w:val="003B53CD"/>
    <w:rsid w:val="003C130E"/>
    <w:rsid w:val="003C450C"/>
    <w:rsid w:val="0044176E"/>
    <w:rsid w:val="004C6CBE"/>
    <w:rsid w:val="004F3753"/>
    <w:rsid w:val="0055341C"/>
    <w:rsid w:val="00580DBA"/>
    <w:rsid w:val="005C03AA"/>
    <w:rsid w:val="00614090"/>
    <w:rsid w:val="006431B2"/>
    <w:rsid w:val="0065004F"/>
    <w:rsid w:val="006A0360"/>
    <w:rsid w:val="007131A9"/>
    <w:rsid w:val="00734541"/>
    <w:rsid w:val="007431EF"/>
    <w:rsid w:val="0075327B"/>
    <w:rsid w:val="00755710"/>
    <w:rsid w:val="00757321"/>
    <w:rsid w:val="007A0607"/>
    <w:rsid w:val="007A5682"/>
    <w:rsid w:val="007C4C1E"/>
    <w:rsid w:val="00821AF9"/>
    <w:rsid w:val="008360E0"/>
    <w:rsid w:val="00844193"/>
    <w:rsid w:val="00860072"/>
    <w:rsid w:val="008655EC"/>
    <w:rsid w:val="00892332"/>
    <w:rsid w:val="008F4D1C"/>
    <w:rsid w:val="00942CDF"/>
    <w:rsid w:val="009549C4"/>
    <w:rsid w:val="009833B5"/>
    <w:rsid w:val="00990B5B"/>
    <w:rsid w:val="009C2A28"/>
    <w:rsid w:val="00A004EA"/>
    <w:rsid w:val="00A30A6B"/>
    <w:rsid w:val="00A5745A"/>
    <w:rsid w:val="00A946EC"/>
    <w:rsid w:val="00AA6D46"/>
    <w:rsid w:val="00B04211"/>
    <w:rsid w:val="00B3789E"/>
    <w:rsid w:val="00B663EB"/>
    <w:rsid w:val="00B850EE"/>
    <w:rsid w:val="00BF04F4"/>
    <w:rsid w:val="00C02427"/>
    <w:rsid w:val="00C174DA"/>
    <w:rsid w:val="00C35F5C"/>
    <w:rsid w:val="00CB4E0B"/>
    <w:rsid w:val="00CF5826"/>
    <w:rsid w:val="00DA1963"/>
    <w:rsid w:val="00DA5B7A"/>
    <w:rsid w:val="00DE325B"/>
    <w:rsid w:val="00E04F5A"/>
    <w:rsid w:val="00E1224C"/>
    <w:rsid w:val="00EB3045"/>
    <w:rsid w:val="00ED18E0"/>
    <w:rsid w:val="00F37159"/>
    <w:rsid w:val="00F6421E"/>
    <w:rsid w:val="00F66D65"/>
    <w:rsid w:val="00F9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hanging="709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hanging="851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55EC"/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2D48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48EE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D48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48E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spacing w:before="240" w:after="60"/>
      <w:jc w:val="center"/>
      <w:outlineLvl w:val="0"/>
    </w:pPr>
    <w:rPr>
      <w:b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spacing w:before="240" w:after="60"/>
      <w:outlineLvl w:val="1"/>
    </w:p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3"/>
      </w:numPr>
      <w:spacing w:before="120"/>
      <w:outlineLvl w:val="2"/>
    </w:p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4"/>
      </w:numPr>
      <w:spacing w:before="240" w:after="6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spacing w:before="240" w:after="6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spacing w:before="12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spacing w:before="240" w:after="60"/>
      <w:ind w:hanging="709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spacing w:before="240" w:after="60"/>
      <w:ind w:hanging="851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spacing w:before="240" w:after="6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55EC"/>
    <w:rPr>
      <w:rFonts w:ascii="Arial" w:hAnsi="Arial"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2D48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48EE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2D48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48E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LBW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Schmitt, Thomas, Dr. (OLG Karlsruhe)</dc:creator>
  <cp:lastModifiedBy>Schmitt, Thomas, Dr. (OLG Karlsruhe)</cp:lastModifiedBy>
  <cp:revision>4</cp:revision>
  <cp:lastPrinted>2015-06-08T08:00:00Z</cp:lastPrinted>
  <dcterms:created xsi:type="dcterms:W3CDTF">2015-06-05T09:12:00Z</dcterms:created>
  <dcterms:modified xsi:type="dcterms:W3CDTF">2015-06-08T08:00:00Z</dcterms:modified>
</cp:coreProperties>
</file>